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u w:val="single"/>
          <w:rtl/>
          <w:lang w:bidi="fa-IR"/>
        </w:rPr>
        <w:t>ملاک</w:t>
      </w:r>
      <w:bookmarkStart w:id="0" w:name="_GoBack"/>
      <w:bookmarkEnd w:id="0"/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u w:val="single"/>
          <w:rtl/>
          <w:lang w:bidi="fa-IR"/>
        </w:rPr>
        <w:t xml:space="preserve"> امتیاز بندی</w:t>
      </w: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rtl/>
          <w:lang w:bidi="fa-IR"/>
        </w:rPr>
        <w:t xml:space="preserve"> </w:t>
      </w:r>
      <w:r w:rsidRPr="00B53E0D">
        <w:rPr>
          <w:rFonts w:ascii="Calibri" w:eastAsia="Times New Roman" w:hAnsi="Calibri" w:cs="2  Nazanin"/>
          <w:b/>
          <w:bCs/>
          <w:color w:val="000000" w:themeColor="text1"/>
          <w:kern w:val="24"/>
          <w:rtl/>
          <w:lang w:bidi="fa-IR"/>
        </w:rPr>
        <w:t>: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>جدول آیین نامه ارتقاء با رعایت سقف امتیازات و با رعایت شرایط زیر</w:t>
      </w:r>
    </w:p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ind w:left="720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rtl/>
          <w:lang w:bidi="fa-IR"/>
        </w:rPr>
        <w:t>الف-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حداقل امتیاز لازم برای </w:t>
      </w:r>
      <w:r w:rsidRPr="00B53E0D">
        <w:rPr>
          <w:rFonts w:ascii="Calibri" w:eastAsia="Times New Roman" w:cs="2  Nazanin" w:hint="cs"/>
          <w:b/>
          <w:bCs/>
          <w:color w:val="FF0000"/>
          <w:kern w:val="24"/>
          <w:u w:val="single"/>
          <w:rtl/>
          <w:lang w:bidi="fa-IR"/>
        </w:rPr>
        <w:t xml:space="preserve">انتخاب پژوهشگران گروه دانشگاه‌ها، مراکز آموزش عالی و واحدهای پژوهشی و حوزه های علمیه </w:t>
      </w:r>
      <w:r w:rsidRPr="00B53E0D">
        <w:rPr>
          <w:rFonts w:ascii="Calibri" w:eastAsia="Times New Roman" w:cs="2  Nazanin" w:hint="cs"/>
          <w:color w:val="000000" w:themeColor="text1"/>
          <w:kern w:val="24"/>
          <w:u w:val="single"/>
          <w:rtl/>
          <w:lang w:bidi="fa-IR"/>
        </w:rPr>
        <w:t>،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کسب امتیاز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100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از همه ی بندهای پژوهشی آیین نامه می باشد. </w:t>
      </w:r>
    </w:p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ind w:left="720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rtl/>
          <w:lang w:bidi="fa-IR"/>
        </w:rPr>
        <w:t>ب-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حداقل امتیاز برای </w:t>
      </w:r>
      <w:r w:rsidRPr="00B53E0D">
        <w:rPr>
          <w:rFonts w:ascii="Calibri" w:eastAsia="Times New Roman" w:cs="2  Nazanin" w:hint="cs"/>
          <w:b/>
          <w:bCs/>
          <w:color w:val="FF0000"/>
          <w:kern w:val="24"/>
          <w:u w:val="single"/>
          <w:rtl/>
          <w:lang w:bidi="fa-IR"/>
        </w:rPr>
        <w:t xml:space="preserve">انتخاب پژوهشگران گروه دستگاه‌های اجرایی استان </w:t>
      </w:r>
      <w:r w:rsidRPr="00B53E0D">
        <w:rPr>
          <w:rFonts w:ascii="Calibri" w:eastAsia="Times New Roman" w:cs="2  Nazanin" w:hint="cs"/>
          <w:color w:val="000000" w:themeColor="text1"/>
          <w:kern w:val="24"/>
          <w:u w:val="single"/>
          <w:rtl/>
          <w:lang w:bidi="fa-IR"/>
        </w:rPr>
        <w:t>،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کسب امتیاز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55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از همه ی بندهای </w:t>
      </w:r>
      <w:r w:rsidRPr="00B53E0D">
        <w:rPr>
          <w:rFonts w:ascii="Calibri" w:eastAsia="Times New Roman" w:hAnsi="Calibri" w:cs="2  Nazanin"/>
          <w:color w:val="000000"/>
          <w:kern w:val="24"/>
          <w:rtl/>
          <w:lang w:bidi="fa-IR"/>
        </w:rPr>
        <w:t xml:space="preserve"> پژوهشی 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آیین نامه می باشد. </w:t>
      </w:r>
    </w:p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ind w:left="720"/>
        <w:jc w:val="both"/>
        <w:rPr>
          <w:rFonts w:ascii="Calibri" w:eastAsia="Times New Roman" w:cs="2  Nazanin"/>
          <w:color w:val="000000" w:themeColor="text1"/>
          <w:kern w:val="24"/>
          <w:rtl/>
          <w:lang w:bidi="fa-IR"/>
        </w:rPr>
      </w:pP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rtl/>
          <w:lang w:bidi="fa-IR"/>
        </w:rPr>
        <w:t>ج-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پژوهشگران مراکز تحقیقاتی و جهاد دانشگاهی با پژوهشگران بند </w:t>
      </w:r>
      <w:r w:rsidRPr="00B53E0D">
        <w:rPr>
          <w:rFonts w:ascii="Calibri" w:eastAsia="Times New Roman" w:cs="2  Nazanin" w:hint="cs"/>
          <w:color w:val="000000" w:themeColor="text1"/>
          <w:kern w:val="24"/>
          <w:u w:val="single"/>
          <w:rtl/>
          <w:lang w:bidi="fa-IR"/>
        </w:rPr>
        <w:t>الف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مقایسه شده، ولی در عین حال حداقل امتیاز لازم برای شرکت در رقابت این مراکز کسب امتیاز 70 از همه ی بندهای  پژوهشی آیین نامه می‌باشد.  </w:t>
      </w:r>
    </w:p>
    <w:p w:rsidR="00B53E0D" w:rsidRPr="00B53E0D" w:rsidRDefault="00B53E0D" w:rsidP="00B53E0D">
      <w:pPr>
        <w:pStyle w:val="NormalWeb"/>
        <w:bidi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u w:val="single"/>
          <w:rtl/>
          <w:lang w:bidi="fa-IR"/>
        </w:rPr>
        <w:t>نکات:</w:t>
      </w:r>
    </w:p>
    <w:p w:rsidR="00B53E0D" w:rsidRPr="00B53E0D" w:rsidRDefault="00B53E0D" w:rsidP="00B53E0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eastAsia="Times New Roman"/>
          <w:szCs w:val="20"/>
        </w:rPr>
      </w:pP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>انتخاب فناوران مطابق آیین نامه و جدول مرتبط صورت می پذیرد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.) </w:t>
      </w:r>
    </w:p>
    <w:p w:rsidR="00B53E0D" w:rsidRPr="00B53E0D" w:rsidRDefault="00B53E0D" w:rsidP="00B53E0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eastAsia="Times New Roman"/>
          <w:szCs w:val="20"/>
        </w:rPr>
      </w:pP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ملاک امتیاز بندی، فعالیت پژوهشی و فناوری انجام شده طی 5 سال منتهی به 31 شهریورماه سال جاری می‌باشد. </w:t>
      </w:r>
    </w:p>
    <w:p w:rsidR="00B53E0D" w:rsidRPr="00B53E0D" w:rsidRDefault="00B53E0D" w:rsidP="00B53E0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eastAsia="Times New Roman"/>
          <w:szCs w:val="20"/>
        </w:rPr>
      </w:pP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به فعالیت های پژوهشی که فاقد آدرس سازمانی مربوطه باشند امتیاز تعلق نمی گیرد. </w:t>
      </w:r>
    </w:p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b/>
          <w:bCs/>
          <w:color w:val="000000" w:themeColor="text1"/>
          <w:kern w:val="24"/>
          <w:rtl/>
          <w:lang w:bidi="fa-IR"/>
        </w:rPr>
        <w:t>تبصره 1: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به مقالات کارکنان دستگاههای اجرایی در صورتی که مستخرج از پایان نامه ی متقاضی مأمور به تحصیل باشد به هر مورد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2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امتیاز و حداکثر تا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5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امتیاز بدون درج آدرس سازمانی امتیاز تعلق می گیرد.</w:t>
      </w:r>
    </w:p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b/>
          <w:bCs/>
          <w:color w:val="000000"/>
          <w:kern w:val="24"/>
          <w:rtl/>
          <w:lang w:bidi="fa-IR"/>
        </w:rPr>
        <w:t xml:space="preserve">تبصره </w:t>
      </w:r>
      <w:r w:rsidRPr="00B53E0D">
        <w:rPr>
          <w:rFonts w:ascii="Calibri" w:eastAsia="Times New Roman" w:hAnsi="Calibri" w:cs="2  Nazanin"/>
          <w:b/>
          <w:bCs/>
          <w:color w:val="000000"/>
          <w:kern w:val="24"/>
          <w:rtl/>
          <w:lang w:bidi="fa-IR"/>
        </w:rPr>
        <w:t>2:</w:t>
      </w:r>
      <w:r w:rsidRPr="00B53E0D">
        <w:rPr>
          <w:rFonts w:ascii="Calibri" w:eastAsia="Times New Roman" w:hAnsi="Calibri" w:cs="2  Nazanin"/>
          <w:color w:val="000000"/>
          <w:kern w:val="24"/>
          <w:rtl/>
          <w:lang w:bidi="fa-IR"/>
        </w:rPr>
        <w:t xml:space="preserve"> 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 xml:space="preserve">پژوهشگران برگزیده ای که در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5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سال گذشته به عنوان پژوهشگر برتر استانی انتخاب شده اند، نمی توانند مجدداً به عنوان پژوهشگر برتر انتخاب شوند. لازم است دستگاهها و سازمانها در این زمینه دقت لازم را به عمل آورند. </w:t>
      </w:r>
    </w:p>
    <w:p w:rsidR="00B53E0D" w:rsidRPr="00B53E0D" w:rsidRDefault="00B53E0D" w:rsidP="00B53E0D">
      <w:pPr>
        <w:pStyle w:val="NormalWeb"/>
        <w:bidi/>
        <w:spacing w:before="0" w:beforeAutospacing="0" w:after="200" w:afterAutospacing="0" w:line="276" w:lineRule="auto"/>
        <w:jc w:val="both"/>
        <w:rPr>
          <w:sz w:val="20"/>
          <w:szCs w:val="20"/>
        </w:rPr>
      </w:pP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>ا</w:t>
      </w:r>
      <w:r w:rsidRPr="00B53E0D">
        <w:rPr>
          <w:rFonts w:ascii="Calibri" w:eastAsia="Times New Roman" w:cs="2  Nazanin" w:hint="cs"/>
          <w:b/>
          <w:bCs/>
          <w:color w:val="000000"/>
          <w:kern w:val="24"/>
          <w:rtl/>
          <w:lang w:bidi="fa-IR"/>
        </w:rPr>
        <w:t>تبصره 3:</w:t>
      </w:r>
      <w:r w:rsidRPr="00B53E0D">
        <w:rPr>
          <w:rFonts w:ascii="Calibri" w:eastAsia="Times New Roman" w:hAnsi="Calibri" w:cs="2  Nazanin"/>
          <w:color w:val="000000"/>
          <w:kern w:val="24"/>
          <w:rtl/>
          <w:lang w:bidi="fa-IR"/>
        </w:rPr>
        <w:t xml:space="preserve"> ا</w:t>
      </w:r>
      <w:r w:rsidRPr="00B53E0D">
        <w:rPr>
          <w:rFonts w:ascii="Calibri" w:eastAsia="Times New Roman" w:cs="2  Nazanin" w:hint="cs"/>
          <w:color w:val="000000" w:themeColor="text1"/>
          <w:kern w:val="24"/>
          <w:rtl/>
          <w:lang w:bidi="fa-IR"/>
        </w:rPr>
        <w:t>ز آنجا که طبق آیین نامه، شاخص هرش (</w:t>
      </w:r>
      <w:r w:rsidRPr="00B53E0D">
        <w:rPr>
          <w:rFonts w:ascii="Calibri" w:eastAsia="Times New Roman" w:hAnsi="Calibri" w:cs="2  Nazanin"/>
          <w:color w:val="000000" w:themeColor="text1"/>
          <w:kern w:val="24"/>
        </w:rPr>
        <w:t>H-Index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) و تعداد ارجاعات (</w:t>
      </w:r>
      <w:r w:rsidRPr="00B53E0D">
        <w:rPr>
          <w:rFonts w:ascii="Calibri" w:eastAsia="Times New Roman" w:hAnsi="Calibri" w:cs="2  Nazanin"/>
          <w:color w:val="000000" w:themeColor="text1"/>
          <w:kern w:val="24"/>
        </w:rPr>
        <w:t>Citation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) نیز می بایست در جدول امتیاز بندی وارد شوند مقرر گردید از آنجا که هر دو مورد رابطه مسقیم دارند شاخص هرش ملاک عمل قرار گرفته و به ازاء هر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1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واحد شاخص هرش ( در 5 سال گذشته ) </w:t>
      </w:r>
      <w:r w:rsidRPr="00B53E0D">
        <w:rPr>
          <w:rFonts w:ascii="Calibri" w:eastAsia="Times New Roman" w:hAnsi="Calibri" w:cs="2  Nazanin"/>
          <w:color w:val="000000" w:themeColor="text1"/>
          <w:kern w:val="24"/>
          <w:u w:val="single"/>
          <w:rtl/>
          <w:lang w:bidi="fa-IR"/>
        </w:rPr>
        <w:t>1</w:t>
      </w:r>
      <w:r w:rsidRPr="00B53E0D">
        <w:rPr>
          <w:rFonts w:ascii="Calibri" w:eastAsia="Times New Roman" w:hAnsi="Calibri" w:cs="2  Nazanin"/>
          <w:color w:val="000000" w:themeColor="text1"/>
          <w:kern w:val="24"/>
          <w:rtl/>
          <w:lang w:bidi="fa-IR"/>
        </w:rPr>
        <w:t xml:space="preserve"> امتیاز برای متقاضی منظور گردد. </w:t>
      </w:r>
    </w:p>
    <w:p w:rsidR="00DB27C9" w:rsidRPr="00B53E0D" w:rsidRDefault="00DB27C9" w:rsidP="00B53E0D">
      <w:pPr>
        <w:bidi/>
        <w:jc w:val="both"/>
        <w:rPr>
          <w:sz w:val="18"/>
          <w:szCs w:val="18"/>
        </w:rPr>
      </w:pPr>
    </w:p>
    <w:sectPr w:rsidR="00DB27C9" w:rsidRPr="00B53E0D" w:rsidSect="00B53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51E1"/>
    <w:multiLevelType w:val="hybridMultilevel"/>
    <w:tmpl w:val="B470DAFC"/>
    <w:lvl w:ilvl="0" w:tplc="9144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4F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88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2A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03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21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4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61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7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B5"/>
    <w:rsid w:val="008F5CB5"/>
    <w:rsid w:val="00B53E0D"/>
    <w:rsid w:val="00D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EF9F4-A635-4DBE-AD5B-36E68F1D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E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E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</dc:creator>
  <cp:keywords/>
  <dc:description/>
  <cp:lastModifiedBy>Paj</cp:lastModifiedBy>
  <cp:revision>2</cp:revision>
  <dcterms:created xsi:type="dcterms:W3CDTF">2020-11-09T10:19:00Z</dcterms:created>
  <dcterms:modified xsi:type="dcterms:W3CDTF">2020-11-09T10:21:00Z</dcterms:modified>
</cp:coreProperties>
</file>